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A764F" w:rsidRDefault="006324A1">
      <w:bookmarkStart w:id="0" w:name="_GoBack"/>
      <w:bookmarkEnd w:id="0"/>
      <w:r>
        <w:rPr>
          <w:b/>
          <w:sz w:val="28"/>
          <w:szCs w:val="28"/>
        </w:rPr>
        <w:t>Kam proudí stamiliony? Česko v datech analyzuje rozdělení evropských dotací</w:t>
      </w:r>
    </w:p>
    <w:p w:rsidR="009A764F" w:rsidRDefault="009A764F">
      <w:pPr>
        <w:jc w:val="both"/>
      </w:pPr>
    </w:p>
    <w:p w:rsidR="009A764F" w:rsidRDefault="006324A1">
      <w:pPr>
        <w:jc w:val="both"/>
      </w:pPr>
      <w:r>
        <w:rPr>
          <w:b/>
        </w:rPr>
        <w:t>V období let 2007 až 2012 bylo z tematických a regionálních OP pro Česko vyčleněno v přepočtu přes 750 mld. korun. Kam přitekl největší díl z této sumy? A které OP se podílí největší měrou na financování malých a velkých podniků? Česko v datech se ve své n</w:t>
      </w:r>
      <w:r>
        <w:rPr>
          <w:b/>
        </w:rPr>
        <w:t>ejnovější analýze zaměřilo právě na rozdělování prostředků z jednotlivých operačních programů Evropské unie.</w:t>
      </w:r>
    </w:p>
    <w:p w:rsidR="009A764F" w:rsidRDefault="009A764F">
      <w:pPr>
        <w:jc w:val="both"/>
      </w:pPr>
    </w:p>
    <w:p w:rsidR="009A764F" w:rsidRDefault="006324A1">
      <w:pPr>
        <w:jc w:val="both"/>
      </w:pPr>
      <w:r>
        <w:rPr>
          <w:b/>
        </w:rPr>
        <w:t>Nejvíce peněz z evropských dotací plyne do velkých měst</w:t>
      </w:r>
    </w:p>
    <w:p w:rsidR="009A764F" w:rsidRDefault="009A764F">
      <w:pPr>
        <w:jc w:val="both"/>
      </w:pPr>
    </w:p>
    <w:p w:rsidR="009A764F" w:rsidRDefault="006324A1">
      <w:pPr>
        <w:jc w:val="both"/>
      </w:pPr>
      <w:r>
        <w:t>Částky vycházející z dat za programové období 2007-2013 jsme regionálně rozdělili podle s</w:t>
      </w:r>
      <w:r>
        <w:t>ídla příjemce (data v našich výstupech odpovídají dotacím, které byly schváleny, nikoli dotacím do současnosti skutečně proplaceným). Interaktivní mapa v jednotlivých okresech zobrazuje odděleně soukromé a veřejné subjekty podpořené z evropských fondů. Kro</w:t>
      </w:r>
      <w:r>
        <w:t>mě celkové částky, která v programovém období dosud přitekla do daného okresu, nabízí možnost přepínání mezi jednotlivými operačními programy a umožňuje tak zobrazit, které OP se na prostředcích plynoucích do jednotlivých okresů podílí největší měrou. Mapa</w:t>
      </w:r>
      <w:r>
        <w:t xml:space="preserve"> zároveň ukazuje informaci, jakou částku čerpají okresy v přepočtu na jednoho obyvatele.</w:t>
      </w:r>
    </w:p>
    <w:p w:rsidR="009A764F" w:rsidRDefault="009A764F">
      <w:pPr>
        <w:jc w:val="both"/>
      </w:pPr>
    </w:p>
    <w:p w:rsidR="009A764F" w:rsidRDefault="006324A1">
      <w:pPr>
        <w:jc w:val="both"/>
      </w:pPr>
      <w:r>
        <w:t xml:space="preserve">Absolutně nejvyšší částky čerpaly z evropských dotačních programů subjekty ve velkých městech - v případě Prahy to bylo přes 220 mld. korun, v případě Brna 38 mld. a </w:t>
      </w:r>
      <w:r>
        <w:t>v Ostravě 26 mld. Podobně pak vypadá situace i v přepočtu prostředků na jednoho obyvatele - přes 177 tisíc korun v Praze, 102 tisíc v Brně, přes 80 tisíc v Jihlavě a více než 70 tisíc korun na jednoho obyvatele v Ostravě, Ústí nad Labem a Olomouci.</w:t>
      </w:r>
    </w:p>
    <w:p w:rsidR="009A764F" w:rsidRDefault="009A764F">
      <w:pPr>
        <w:jc w:val="both"/>
      </w:pPr>
    </w:p>
    <w:p w:rsidR="009A764F" w:rsidRDefault="006324A1">
      <w:pPr>
        <w:jc w:val="both"/>
      </w:pPr>
      <w:r>
        <w:rPr>
          <w:i/>
        </w:rPr>
        <w:t>„Je pr</w:t>
      </w:r>
      <w:r>
        <w:rPr>
          <w:i/>
        </w:rPr>
        <w:t>avdou, že velká část příjemců, ať už soukromých subjektů nebo veřejné správy, má sídlo v Praze nebo dalších velkých městech, nicméně realizace probíhala jinde. I tak je třeba se zamyslet nad tím, jak velká část finančních prostředků nakonec končí mimo míst</w:t>
      </w:r>
      <w:r>
        <w:rPr>
          <w:i/>
        </w:rPr>
        <w:t>o realizace, tedy v regionu, kde firma sídlí. V případě Prahy je to tím zajímavější, že Praha patří k bohatším regionům s nižší intenzitou podpory,”</w:t>
      </w:r>
      <w:r>
        <w:t xml:space="preserve"> upřesňuje </w:t>
      </w:r>
      <w:r>
        <w:rPr>
          <w:b/>
        </w:rPr>
        <w:t>rektor vysoké školy Unicorn College Jan Čadil</w:t>
      </w:r>
      <w:r>
        <w:t>.</w:t>
      </w:r>
    </w:p>
    <w:p w:rsidR="009A764F" w:rsidRDefault="009A764F">
      <w:pPr>
        <w:jc w:val="both"/>
      </w:pPr>
    </w:p>
    <w:p w:rsidR="009A764F" w:rsidRDefault="006324A1">
      <w:pPr>
        <w:jc w:val="both"/>
      </w:pPr>
      <w:r>
        <w:rPr>
          <w:b/>
        </w:rPr>
        <w:t>Soukromé podniky mohou kromě dotací z EU využívat</w:t>
      </w:r>
      <w:r>
        <w:rPr>
          <w:b/>
        </w:rPr>
        <w:t xml:space="preserve"> i daňové odpočty</w:t>
      </w:r>
    </w:p>
    <w:p w:rsidR="009A764F" w:rsidRDefault="009A764F">
      <w:pPr>
        <w:jc w:val="both"/>
      </w:pPr>
    </w:p>
    <w:p w:rsidR="009A764F" w:rsidRDefault="006324A1">
      <w:pPr>
        <w:jc w:val="both"/>
      </w:pPr>
      <w:r>
        <w:t xml:space="preserve">Druhá část aktuální analýzy se zaměřila na soukromé podniky, a to na základě jejich velikosti. Zobrazuje, jaké částky z konkrétních operačních programů čerpají mikropodniky, malé, střední a velké podniky. U tří nejvýznamnějších programů </w:t>
      </w:r>
      <w:r>
        <w:t>navíc v každé kategorii uvádí i konkrétní příjemce a projekt, který ve zkoumaném období získal celkově nejvyšší částku.</w:t>
      </w:r>
    </w:p>
    <w:p w:rsidR="009A764F" w:rsidRDefault="009A764F">
      <w:pPr>
        <w:jc w:val="both"/>
      </w:pPr>
    </w:p>
    <w:p w:rsidR="009A764F" w:rsidRDefault="006324A1">
      <w:pPr>
        <w:jc w:val="both"/>
      </w:pPr>
      <w:r>
        <w:t xml:space="preserve">U mikropodniků, malých a středních podniků se pořadí tří nejvýznamnějších OP nemění - patří mezi ně OP Podnikání a inovace, OP Životní </w:t>
      </w:r>
      <w:r>
        <w:t>prostředí a OP Lidské zdroje a zaměstnanost. V případě velkých podniků se mezi tři nejvýznamnější programy dostal OP Doprava, a to především díky více než sedmimiliardové investici do prodloužení linky A pražského metra.</w:t>
      </w:r>
    </w:p>
    <w:p w:rsidR="009A764F" w:rsidRDefault="009A764F">
      <w:pPr>
        <w:jc w:val="both"/>
      </w:pPr>
    </w:p>
    <w:p w:rsidR="009A764F" w:rsidRDefault="006324A1">
      <w:pPr>
        <w:jc w:val="both"/>
      </w:pPr>
      <w:r>
        <w:rPr>
          <w:i/>
        </w:rPr>
        <w:lastRenderedPageBreak/>
        <w:t>„Soukromé společnosti, které prová</w:t>
      </w:r>
      <w:r>
        <w:rPr>
          <w:i/>
        </w:rPr>
        <w:t>dějí vývoj či výzkum, mohou v České republice využít mimo některých výše uvedených dotací také podporu ve formě daňového odpočtu. Postoje podniků k podpoře výzkumu a vývoje, ať již ve formě dotací či odpočtu, blíže mapuje každoroční průzkum společnosti Del</w:t>
      </w:r>
      <w:r>
        <w:rPr>
          <w:i/>
        </w:rPr>
        <w:t>oitte a Technologické agentury České republiky (TA ČR). Letošní ročník průzkumu nejen potvrdil ochotu společností investovat do oblasti výzkumu a vývoje, ale ukázal i na největší problémy v aktuálním systému jejich podpory,”</w:t>
      </w:r>
      <w:r>
        <w:t xml:space="preserve"> doplnil </w:t>
      </w:r>
      <w:r>
        <w:rPr>
          <w:b/>
        </w:rPr>
        <w:t>Luděk Hanáček</w:t>
      </w:r>
      <w:r>
        <w:t xml:space="preserve">, partner </w:t>
      </w:r>
      <w:r>
        <w:t>v daňovém oddělení společnosti Deloitte.</w:t>
      </w:r>
    </w:p>
    <w:p w:rsidR="009A764F" w:rsidRDefault="009A764F">
      <w:pPr>
        <w:jc w:val="both"/>
      </w:pPr>
    </w:p>
    <w:p w:rsidR="009A764F" w:rsidRDefault="006324A1">
      <w:pPr>
        <w:jc w:val="both"/>
      </w:pPr>
      <w:r>
        <w:t>Průzkum s názvem Daňová a grantová podpora činností výzkumu a vývoje je ke stažení na www.deloitte.com/cz/vyzkum-vyvoj.</w:t>
      </w:r>
    </w:p>
    <w:p w:rsidR="009A764F" w:rsidRDefault="009A764F"/>
    <w:p w:rsidR="009A764F" w:rsidRDefault="006324A1">
      <w:pPr>
        <w:jc w:val="both"/>
      </w:pPr>
      <w:r>
        <w:rPr>
          <w:b/>
        </w:rPr>
        <w:t>Nové programové období přinese méně operačních programů</w:t>
      </w:r>
    </w:p>
    <w:p w:rsidR="009A764F" w:rsidRDefault="009A764F">
      <w:pPr>
        <w:jc w:val="both"/>
      </w:pPr>
    </w:p>
    <w:p w:rsidR="009A764F" w:rsidRDefault="006324A1">
      <w:pPr>
        <w:jc w:val="both"/>
      </w:pPr>
      <w:r>
        <w:t>Na roky 2007-2013, bylo pro Českou r</w:t>
      </w:r>
      <w:r>
        <w:t xml:space="preserve">epubliku ze strukturálních fondů alokováno přes 26,6 mld. Eur (cca 752,7 mld. Kč), což naši zemi shodou okolností zařadilo na první příčku v množství prostředků na jednoho obyvatele. Na další období, tedy pro roky 2014-2020, je v Evropských investičních a </w:t>
      </w:r>
      <w:r>
        <w:t>strukturálních fondech pro Českou republiku vyčleněno zhruba 23,8 miliard Eur. Přípravy na toto období začaly už v roce 2010 a mezi hlavní změny v systému jejich čerpání by mělo mimo jiné patřit snížení počtu operačních programů a s tím související menší p</w:t>
      </w:r>
      <w:r>
        <w:t xml:space="preserve">očet řídících orgánů. </w:t>
      </w:r>
      <w:r>
        <w:rPr>
          <w:i/>
        </w:rPr>
        <w:t>„Vznikající Integrovaný ROP by měl vést především ke snížení administrativní zátěže žadatelů a příjemců,”</w:t>
      </w:r>
      <w:r>
        <w:t xml:space="preserve"> přiblížil účel změny </w:t>
      </w:r>
      <w:r>
        <w:rPr>
          <w:b/>
        </w:rPr>
        <w:t>Jan Čadil</w:t>
      </w:r>
      <w:r>
        <w:t xml:space="preserve"> z Unicorn College.</w:t>
      </w:r>
    </w:p>
    <w:p w:rsidR="009A764F" w:rsidRDefault="009A764F">
      <w:pPr>
        <w:jc w:val="both"/>
      </w:pPr>
    </w:p>
    <w:p w:rsidR="009A764F" w:rsidRDefault="006324A1">
      <w:pPr>
        <w:spacing w:after="200" w:line="259" w:lineRule="auto"/>
        <w:jc w:val="both"/>
      </w:pPr>
      <w:r>
        <w:rPr>
          <w:b/>
        </w:rPr>
        <w:t>O projektu Česko v datech</w:t>
      </w:r>
    </w:p>
    <w:p w:rsidR="009A764F" w:rsidRDefault="006324A1">
      <w:pPr>
        <w:spacing w:before="60" w:after="240" w:line="259" w:lineRule="auto"/>
        <w:jc w:val="both"/>
      </w:pPr>
      <w:r>
        <w:t>Ambicí projektu Česko v datech je vyhledávat témata, která jsou přitažlivá, zajímavá nebo důležitá pro celou společnost, ale jejichž zpracování vyžaduje pokročilé datové nástroje. Chce objevovat souvislosti, které se v datech skrývají, a potvrdit či vyvrát</w:t>
      </w:r>
      <w:r>
        <w:t xml:space="preserve">it tvrzení, která se v české společnosti tradují, ale bez práce s rozsáhlými daty jim chybí důkaz. Partnery projektu jsou společnosti </w:t>
      </w:r>
      <w:r>
        <w:rPr>
          <w:b/>
        </w:rPr>
        <w:t>SAS Česká republika</w:t>
      </w:r>
      <w:r>
        <w:t xml:space="preserve">, </w:t>
      </w:r>
      <w:r>
        <w:rPr>
          <w:b/>
        </w:rPr>
        <w:t>Deloitte, Unicorn a DataSpring</w:t>
      </w:r>
      <w:r>
        <w:t>, které poskytly svá řešení pro zpracování a vizualizaci dat. Spolu s n</w:t>
      </w:r>
      <w:r>
        <w:t>imi se na projektu podílí i agentura Dark Side.</w:t>
      </w:r>
    </w:p>
    <w:p w:rsidR="009A764F" w:rsidRDefault="009A764F">
      <w:pPr>
        <w:spacing w:line="259" w:lineRule="auto"/>
        <w:jc w:val="both"/>
      </w:pPr>
    </w:p>
    <w:p w:rsidR="009A764F" w:rsidRDefault="006324A1">
      <w:pPr>
        <w:spacing w:after="240" w:line="259" w:lineRule="auto"/>
      </w:pPr>
      <w:r>
        <w:rPr>
          <w:b/>
        </w:rPr>
        <w:t>Kontakty pro média:</w:t>
      </w:r>
    </w:p>
    <w:p w:rsidR="009A764F" w:rsidRDefault="006324A1">
      <w:pPr>
        <w:spacing w:line="259" w:lineRule="auto"/>
      </w:pPr>
      <w:r>
        <w:t>Jana Morávková</w:t>
      </w:r>
    </w:p>
    <w:p w:rsidR="009A764F" w:rsidRDefault="006324A1">
      <w:pPr>
        <w:spacing w:line="259" w:lineRule="auto"/>
      </w:pPr>
      <w:r>
        <w:t>PR Account Manager, Dark Side a.s.</w:t>
      </w:r>
    </w:p>
    <w:p w:rsidR="009A764F" w:rsidRDefault="006324A1">
      <w:pPr>
        <w:spacing w:line="259" w:lineRule="auto"/>
      </w:pPr>
      <w:r>
        <w:t>Tel.: +420 728 258 798</w:t>
      </w:r>
    </w:p>
    <w:p w:rsidR="009A764F" w:rsidRDefault="006324A1">
      <w:pPr>
        <w:spacing w:line="259" w:lineRule="auto"/>
      </w:pPr>
      <w:r>
        <w:t>jana.moravkova@dark-side.cz</w:t>
      </w:r>
    </w:p>
    <w:p w:rsidR="009A764F" w:rsidRDefault="009A764F">
      <w:pPr>
        <w:spacing w:line="259" w:lineRule="auto"/>
      </w:pPr>
    </w:p>
    <w:p w:rsidR="009A764F" w:rsidRDefault="006324A1">
      <w:pPr>
        <w:spacing w:line="259" w:lineRule="auto"/>
      </w:pPr>
      <w:r>
        <w:t>Mgr. Klára Pirochová</w:t>
      </w:r>
    </w:p>
    <w:p w:rsidR="009A764F" w:rsidRDefault="006324A1">
      <w:pPr>
        <w:spacing w:line="259" w:lineRule="auto"/>
      </w:pPr>
      <w:r>
        <w:t>Head of PR, Dark Side a.s.</w:t>
      </w:r>
    </w:p>
    <w:p w:rsidR="009A764F" w:rsidRDefault="006324A1">
      <w:pPr>
        <w:spacing w:line="259" w:lineRule="auto"/>
      </w:pPr>
      <w:r>
        <w:t>Tel.: +420 732 801 881</w:t>
      </w:r>
    </w:p>
    <w:p w:rsidR="009A764F" w:rsidRDefault="006324A1">
      <w:pPr>
        <w:spacing w:line="259" w:lineRule="auto"/>
      </w:pPr>
      <w:r>
        <w:t>klara.pirochov</w:t>
      </w:r>
      <w:r>
        <w:t>a@dark-side.cz</w:t>
      </w:r>
    </w:p>
    <w:sectPr w:rsidR="009A764F">
      <w:headerReference w:type="default" r:id="rId7"/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4A1" w:rsidRDefault="006324A1">
      <w:pPr>
        <w:spacing w:line="240" w:lineRule="auto"/>
      </w:pPr>
      <w:r>
        <w:separator/>
      </w:r>
    </w:p>
  </w:endnote>
  <w:endnote w:type="continuationSeparator" w:id="0">
    <w:p w:rsidR="006324A1" w:rsidRDefault="006324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4A1" w:rsidRDefault="006324A1">
      <w:pPr>
        <w:spacing w:line="240" w:lineRule="auto"/>
      </w:pPr>
      <w:r>
        <w:separator/>
      </w:r>
    </w:p>
  </w:footnote>
  <w:footnote w:type="continuationSeparator" w:id="0">
    <w:p w:rsidR="006324A1" w:rsidRDefault="006324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64F" w:rsidRDefault="006324A1">
    <w:pPr>
      <w:jc w:val="right"/>
    </w:pPr>
    <w:r>
      <w:rPr>
        <w:noProof/>
      </w:rPr>
      <w:drawing>
        <wp:anchor distT="0" distB="0" distL="0" distR="0" simplePos="0" relativeHeight="251658240" behindDoc="0" locked="0" layoutInCell="0" hidden="0" allowOverlap="0">
          <wp:simplePos x="0" y="0"/>
          <wp:positionH relativeFrom="margin">
            <wp:posOffset>5095875</wp:posOffset>
          </wp:positionH>
          <wp:positionV relativeFrom="paragraph">
            <wp:posOffset>85725</wp:posOffset>
          </wp:positionV>
          <wp:extent cx="1233488" cy="645835"/>
          <wp:effectExtent l="0" t="0" r="0" b="0"/>
          <wp:wrapSquare wrapText="bothSides" distT="0" distB="0" distL="0" distR="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3488" cy="6458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A764F"/>
    <w:rsid w:val="00413EAC"/>
    <w:rsid w:val="006324A1"/>
    <w:rsid w:val="009A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  <w:contextualSpacing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  <w:contextualSpacing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747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Jana</cp:lastModifiedBy>
  <cp:revision>2</cp:revision>
  <dcterms:created xsi:type="dcterms:W3CDTF">2015-11-11T21:07:00Z</dcterms:created>
  <dcterms:modified xsi:type="dcterms:W3CDTF">2015-11-11T21:07:00Z</dcterms:modified>
</cp:coreProperties>
</file>